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A69" w:rsidRPr="00F76A69" w:rsidRDefault="00F76A69" w:rsidP="00F76A69">
      <w:pPr>
        <w:suppressAutoHyphens/>
        <w:spacing w:after="0" w:line="240" w:lineRule="auto"/>
        <w:ind w:left="5664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F76A6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Приложение</w:t>
      </w:r>
    </w:p>
    <w:p w:rsidR="00F76A69" w:rsidRPr="00F76A69" w:rsidRDefault="00F76A69" w:rsidP="00F76A69">
      <w:pPr>
        <w:suppressAutoHyphens/>
        <w:spacing w:after="0" w:line="240" w:lineRule="auto"/>
        <w:ind w:left="5664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F76A6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 решению Совета</w:t>
      </w:r>
    </w:p>
    <w:p w:rsidR="00F76A69" w:rsidRPr="00F76A69" w:rsidRDefault="00F76A69" w:rsidP="00F76A69">
      <w:pPr>
        <w:suppressAutoHyphens/>
        <w:spacing w:after="0" w:line="240" w:lineRule="auto"/>
        <w:ind w:left="5664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F76A6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муниципального образования</w:t>
      </w:r>
    </w:p>
    <w:p w:rsidR="00F76A69" w:rsidRPr="00F76A69" w:rsidRDefault="00F76A69" w:rsidP="00F76A69">
      <w:pPr>
        <w:suppressAutoHyphens/>
        <w:spacing w:after="0" w:line="240" w:lineRule="auto"/>
        <w:ind w:left="5664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F76A6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Кавказский район</w:t>
      </w:r>
    </w:p>
    <w:p w:rsidR="00F76A69" w:rsidRPr="00F76A69" w:rsidRDefault="00F76A69" w:rsidP="00F76A69">
      <w:pPr>
        <w:suppressAutoHyphens/>
        <w:spacing w:after="0" w:line="240" w:lineRule="auto"/>
        <w:ind w:left="5664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F76A6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от </w:t>
      </w:r>
      <w:r w:rsidR="00C47AA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28 апреля 2022 года № 413</w:t>
      </w:r>
    </w:p>
    <w:p w:rsidR="00F76A69" w:rsidRPr="00F76A69" w:rsidRDefault="00F76A69" w:rsidP="00F76A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:rsidR="00F76A69" w:rsidRPr="00F76A69" w:rsidRDefault="00F76A69" w:rsidP="00F76A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</w:pPr>
    </w:p>
    <w:p w:rsidR="00F76A69" w:rsidRPr="00F76A69" w:rsidRDefault="00F76A69" w:rsidP="00F76A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76A6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Изменения</w:t>
      </w:r>
    </w:p>
    <w:p w:rsidR="00F76A69" w:rsidRPr="00F76A69" w:rsidRDefault="00F76A69" w:rsidP="00F76A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76A6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в решение Совета муниципального образования Кавказский район от 23 сентября 2021 года №339 «Об утверждении Положения о муниципальном земельном контроле на территории муниципального образования Кавказский район»</w:t>
      </w:r>
    </w:p>
    <w:p w:rsidR="00F76A69" w:rsidRPr="00F76A69" w:rsidRDefault="00F76A69" w:rsidP="00F76A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76A69" w:rsidRPr="00F76A69" w:rsidRDefault="00F76A69" w:rsidP="00F76A69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76A69">
        <w:rPr>
          <w:rFonts w:ascii="Times New Roman" w:eastAsia="Times New Roman" w:hAnsi="Times New Roman" w:cs="Times New Roman"/>
          <w:sz w:val="28"/>
          <w:szCs w:val="28"/>
        </w:rPr>
        <w:t>«5. Доклад о муниципальном земельном контроле, ключевой показатель муниципального земельного контроля, индикативные показатели для муниципального земельного контроля</w:t>
      </w:r>
    </w:p>
    <w:p w:rsidR="00F76A69" w:rsidRPr="00F76A69" w:rsidRDefault="00F76A69" w:rsidP="00F76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6A69" w:rsidRPr="00F76A69" w:rsidRDefault="00F76A69" w:rsidP="00F76A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A69">
        <w:rPr>
          <w:rFonts w:ascii="Times New Roman" w:eastAsia="Times New Roman" w:hAnsi="Times New Roman" w:cs="Times New Roman"/>
          <w:sz w:val="28"/>
          <w:szCs w:val="28"/>
        </w:rPr>
        <w:t>5.1. Уполномоченный орган ежегодно, по итогам осуществления муниципального земельного контроля, осуществляет подготовку проекта доклада о муниципальном земельном контроле (далее - доклад) с указанием сведений о достижении ключевых показателей и сведений об индикативных показателях муниципального земельного контроля, в том числе о влиянии профилактических мероприятий и контрольных мероприятий на достижение ключевых показателей.</w:t>
      </w:r>
    </w:p>
    <w:p w:rsidR="00F76A69" w:rsidRPr="00F76A69" w:rsidRDefault="00F76A69" w:rsidP="00F76A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A69">
        <w:rPr>
          <w:rFonts w:ascii="Times New Roman" w:eastAsia="Times New Roman" w:hAnsi="Times New Roman" w:cs="Times New Roman"/>
          <w:sz w:val="28"/>
          <w:szCs w:val="28"/>
        </w:rPr>
        <w:t>5.2. Оценка результативности и эффективности деятельности Уполномоченного органа осуществляется на основе системы показателей результативности и эффективности муниципального земельного контроля.</w:t>
      </w:r>
    </w:p>
    <w:p w:rsidR="00F76A69" w:rsidRPr="00F76A69" w:rsidRDefault="00F76A69" w:rsidP="00F76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A69">
        <w:rPr>
          <w:rFonts w:ascii="Times New Roman" w:eastAsia="Times New Roman" w:hAnsi="Times New Roman" w:cs="Times New Roman"/>
          <w:sz w:val="28"/>
          <w:szCs w:val="28"/>
        </w:rPr>
        <w:t>5.3. Ключевым показателем муниципального земельного контроля является разность соотношения количества земельных участков, в отношении которых в отчетном периоде принято решение об их отнесении к более низкой категории риска, к общему числу земельных участков, отнесенных к категориям риска (за исключением земельных участков, отнесенных к категории низкого риска), и аналогичного соотношения количества земельных участков, в отношении которых такие решения приняты за предыдущий отчетный период.</w:t>
      </w:r>
    </w:p>
    <w:p w:rsidR="00F76A69" w:rsidRPr="00F76A69" w:rsidRDefault="00F76A69" w:rsidP="00F76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A69">
        <w:rPr>
          <w:rFonts w:ascii="Times New Roman" w:eastAsia="Times New Roman" w:hAnsi="Times New Roman" w:cs="Times New Roman"/>
          <w:sz w:val="28"/>
          <w:szCs w:val="28"/>
        </w:rPr>
        <w:t>Ключевой показатель муниципального земельного контроля (КП) рассчитывается по формуле:</w:t>
      </w:r>
    </w:p>
    <w:p w:rsidR="00F76A69" w:rsidRPr="00F76A69" w:rsidRDefault="00F76A69" w:rsidP="00F76A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6A6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38325" cy="514350"/>
            <wp:effectExtent l="1905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6A69">
        <w:rPr>
          <w:rFonts w:ascii="Times New Roman" w:eastAsia="Times New Roman" w:hAnsi="Times New Roman" w:cs="Times New Roman"/>
          <w:sz w:val="24"/>
          <w:szCs w:val="24"/>
        </w:rPr>
        <w:t> ,</w:t>
      </w:r>
    </w:p>
    <w:p w:rsidR="00F76A69" w:rsidRPr="00F76A69" w:rsidRDefault="00F76A69" w:rsidP="00F76A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A69">
        <w:rPr>
          <w:rFonts w:ascii="Times New Roman" w:eastAsia="Times New Roman" w:hAnsi="Times New Roman" w:cs="Times New Roman"/>
          <w:sz w:val="28"/>
          <w:szCs w:val="28"/>
        </w:rPr>
        <w:t>где:</w:t>
      </w:r>
    </w:p>
    <w:p w:rsidR="00F76A69" w:rsidRPr="00F76A69" w:rsidRDefault="00F76A69" w:rsidP="00F76A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A69">
        <w:rPr>
          <w:rFonts w:ascii="Times New Roman" w:eastAsia="Times New Roman" w:hAnsi="Times New Roman" w:cs="Times New Roman"/>
          <w:sz w:val="28"/>
          <w:szCs w:val="28"/>
        </w:rPr>
        <w:t>А n - количество земельных участков, отнесенных в соответствии с настоящим Положением к категориям риска (за исключением земельных участков, отнесенных к категории низкого риска), по состоянию на дату окончания отчетного периода;</w:t>
      </w:r>
    </w:p>
    <w:p w:rsidR="00F76A69" w:rsidRPr="00F76A69" w:rsidRDefault="00F76A69" w:rsidP="00F76A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A69">
        <w:rPr>
          <w:rFonts w:ascii="Times New Roman" w:eastAsia="Times New Roman" w:hAnsi="Times New Roman" w:cs="Times New Roman"/>
          <w:sz w:val="28"/>
          <w:szCs w:val="28"/>
        </w:rPr>
        <w:t>В n - количество земельных участков, в отношении которых в отчетном периоде принято решение об их отнесении к более низкой категории риска;</w:t>
      </w:r>
    </w:p>
    <w:p w:rsidR="00F76A69" w:rsidRPr="00F76A69" w:rsidRDefault="00F76A69" w:rsidP="00F76A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A69">
        <w:rPr>
          <w:rFonts w:ascii="Times New Roman" w:eastAsia="Times New Roman" w:hAnsi="Times New Roman" w:cs="Times New Roman"/>
          <w:sz w:val="28"/>
          <w:szCs w:val="28"/>
        </w:rPr>
        <w:lastRenderedPageBreak/>
        <w:t>А n-1 - количество земельных участков, отнесенных в соответствии с настоящим Положением к категориям риска (за исключением земельных участков, отнесенных к категории низкого риска), по состоянию на дату окончания предыдущего отчетного периода;</w:t>
      </w:r>
    </w:p>
    <w:p w:rsidR="00F76A69" w:rsidRPr="00F76A69" w:rsidRDefault="00F76A69" w:rsidP="00F76A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A69">
        <w:rPr>
          <w:rFonts w:ascii="Times New Roman" w:eastAsia="Times New Roman" w:hAnsi="Times New Roman" w:cs="Times New Roman"/>
          <w:sz w:val="28"/>
          <w:szCs w:val="28"/>
        </w:rPr>
        <w:t>В n-1 - количество земельных участков, в отношении которых в предыдущем отчетном периоде принято решение об их отнесении к более низкой категории риска.</w:t>
      </w:r>
    </w:p>
    <w:p w:rsidR="00F76A69" w:rsidRPr="00F76A69" w:rsidRDefault="00F76A69" w:rsidP="00F76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A69">
        <w:rPr>
          <w:rFonts w:ascii="Times New Roman" w:eastAsia="Times New Roman" w:hAnsi="Times New Roman" w:cs="Times New Roman"/>
          <w:sz w:val="28"/>
          <w:szCs w:val="28"/>
        </w:rPr>
        <w:t>Целевыми значениями ключевого показателя муниципального земельного контроля являются положительные значения.</w:t>
      </w:r>
    </w:p>
    <w:p w:rsidR="00F76A69" w:rsidRPr="00F76A69" w:rsidRDefault="00F76A69" w:rsidP="00F76A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A69">
        <w:rPr>
          <w:rFonts w:ascii="Times New Roman" w:eastAsia="Times New Roman" w:hAnsi="Times New Roman" w:cs="Times New Roman"/>
          <w:sz w:val="28"/>
          <w:szCs w:val="28"/>
        </w:rPr>
        <w:t>5.4. Индикативными показателями для муниципального земельного контроля являются:</w:t>
      </w:r>
    </w:p>
    <w:p w:rsidR="00F76A69" w:rsidRPr="00F76A69" w:rsidRDefault="00F76A69" w:rsidP="00F76A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F76A69">
        <w:rPr>
          <w:rFonts w:ascii="Times New Roman" w:eastAsia="Times New Roman" w:hAnsi="Times New Roman" w:cs="Times New Roman"/>
          <w:color w:val="22272F"/>
          <w:sz w:val="28"/>
          <w:szCs w:val="28"/>
        </w:rPr>
        <w:t>количество плановых контрольных (надзорных) мероприятий, проведенных за отчетный период;</w:t>
      </w:r>
    </w:p>
    <w:p w:rsidR="00F76A69" w:rsidRPr="00F76A69" w:rsidRDefault="00F76A69" w:rsidP="00F76A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F76A69">
        <w:rPr>
          <w:rFonts w:ascii="Times New Roman" w:eastAsia="Times New Roman" w:hAnsi="Times New Roman" w:cs="Times New Roman"/>
          <w:color w:val="22272F"/>
          <w:sz w:val="28"/>
          <w:szCs w:val="28"/>
        </w:rPr>
        <w:t>количество внеплановых контрольных (надзорных) мероприятий, проведенных за отчетный период при взаимодействии с контролируемым лицом;</w:t>
      </w:r>
    </w:p>
    <w:p w:rsidR="00F76A69" w:rsidRPr="00F76A69" w:rsidRDefault="00F76A69" w:rsidP="00F76A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F76A69">
        <w:rPr>
          <w:rFonts w:ascii="Times New Roman" w:eastAsia="Times New Roman" w:hAnsi="Times New Roman" w:cs="Times New Roman"/>
          <w:color w:val="22272F"/>
          <w:sz w:val="28"/>
          <w:szCs w:val="28"/>
        </w:rPr>
        <w:t>количество внеплановых контрольных (надзорных) мероприятий, проведенных за отчетный период на основании выявления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параметров;</w:t>
      </w:r>
    </w:p>
    <w:p w:rsidR="00F76A69" w:rsidRPr="00F76A69" w:rsidRDefault="00F76A69" w:rsidP="00F76A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F76A69">
        <w:rPr>
          <w:rFonts w:ascii="Times New Roman" w:eastAsia="Times New Roman" w:hAnsi="Times New Roman" w:cs="Times New Roman"/>
          <w:color w:val="22272F"/>
          <w:sz w:val="28"/>
          <w:szCs w:val="28"/>
        </w:rPr>
        <w:t>общее количество контрольных (надзорных) мероприятий без взаимодействия с контролируемым лицом, проведенных за отчетный период;</w:t>
      </w:r>
    </w:p>
    <w:p w:rsidR="00F76A69" w:rsidRPr="00F76A69" w:rsidRDefault="00F76A69" w:rsidP="00F76A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F76A69">
        <w:rPr>
          <w:rFonts w:ascii="Times New Roman" w:eastAsia="Times New Roman" w:hAnsi="Times New Roman" w:cs="Times New Roman"/>
          <w:color w:val="22272F"/>
          <w:sz w:val="28"/>
          <w:szCs w:val="28"/>
        </w:rPr>
        <w:t>общее количество контрольных (надзорных) мероприятий, проведенных за отчетный период при взаимодействии с контролируемым лицом;</w:t>
      </w:r>
    </w:p>
    <w:p w:rsidR="00F76A69" w:rsidRPr="00F76A69" w:rsidRDefault="00F76A69" w:rsidP="00F76A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F76A69">
        <w:rPr>
          <w:rFonts w:ascii="Times New Roman" w:eastAsia="Times New Roman" w:hAnsi="Times New Roman" w:cs="Times New Roman"/>
          <w:color w:val="22272F"/>
          <w:sz w:val="28"/>
          <w:szCs w:val="28"/>
        </w:rPr>
        <w:t>количество инспекционных визитов, проведенных за отчетный период;</w:t>
      </w:r>
    </w:p>
    <w:p w:rsidR="00F76A69" w:rsidRPr="00F76A69" w:rsidRDefault="00F76A69" w:rsidP="00F76A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F76A69">
        <w:rPr>
          <w:rFonts w:ascii="Times New Roman" w:eastAsia="Times New Roman" w:hAnsi="Times New Roman" w:cs="Times New Roman"/>
          <w:color w:val="22272F"/>
          <w:sz w:val="28"/>
          <w:szCs w:val="28"/>
        </w:rPr>
        <w:t>количество рейдовых осмотров, проведенных за отчетный период;</w:t>
      </w:r>
    </w:p>
    <w:p w:rsidR="00F76A69" w:rsidRPr="00F76A69" w:rsidRDefault="00F76A69" w:rsidP="00F76A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F76A69">
        <w:rPr>
          <w:rFonts w:ascii="Times New Roman" w:eastAsia="Times New Roman" w:hAnsi="Times New Roman" w:cs="Times New Roman"/>
          <w:color w:val="22272F"/>
          <w:sz w:val="28"/>
          <w:szCs w:val="28"/>
        </w:rPr>
        <w:t>количество документарных проверок, проведенных за отчетный период;</w:t>
      </w:r>
    </w:p>
    <w:p w:rsidR="00F76A69" w:rsidRPr="00F76A69" w:rsidRDefault="00F76A69" w:rsidP="00F76A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F76A69">
        <w:rPr>
          <w:rFonts w:ascii="Times New Roman" w:eastAsia="Times New Roman" w:hAnsi="Times New Roman" w:cs="Times New Roman"/>
          <w:color w:val="22272F"/>
          <w:sz w:val="28"/>
          <w:szCs w:val="28"/>
        </w:rPr>
        <w:t>количество выездных проверок, проведенных за отчетный период;</w:t>
      </w:r>
    </w:p>
    <w:p w:rsidR="00F76A69" w:rsidRPr="00F76A69" w:rsidRDefault="00F76A69" w:rsidP="00F76A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F76A69">
        <w:rPr>
          <w:rFonts w:ascii="Times New Roman" w:eastAsia="Times New Roman" w:hAnsi="Times New Roman" w:cs="Times New Roman"/>
          <w:color w:val="22272F"/>
          <w:sz w:val="28"/>
          <w:szCs w:val="28"/>
        </w:rPr>
        <w:t>количество инспекционных визитов, проведенных с использованием средств дистанционного взаимодействия, за отчетный период;</w:t>
      </w:r>
    </w:p>
    <w:p w:rsidR="00F76A69" w:rsidRPr="00F76A69" w:rsidRDefault="00F76A69" w:rsidP="00F76A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F76A69">
        <w:rPr>
          <w:rFonts w:ascii="Times New Roman" w:eastAsia="Times New Roman" w:hAnsi="Times New Roman" w:cs="Times New Roman"/>
          <w:color w:val="22272F"/>
          <w:sz w:val="28"/>
          <w:szCs w:val="28"/>
        </w:rPr>
        <w:t>количество профилактических визитов, проведенных за отчетный период;</w:t>
      </w:r>
    </w:p>
    <w:p w:rsidR="00F76A69" w:rsidRPr="00F76A69" w:rsidRDefault="00F76A69" w:rsidP="00F76A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F76A69">
        <w:rPr>
          <w:rFonts w:ascii="Times New Roman" w:eastAsia="Times New Roman" w:hAnsi="Times New Roman" w:cs="Times New Roman"/>
          <w:color w:val="22272F"/>
          <w:sz w:val="28"/>
          <w:szCs w:val="28"/>
        </w:rPr>
        <w:t>количество предостережений о недопустимости нарушения обязательных требований, объявленных за отчетный период;</w:t>
      </w:r>
    </w:p>
    <w:p w:rsidR="00F76A69" w:rsidRPr="00F76A69" w:rsidRDefault="00F76A69" w:rsidP="00F76A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F76A69">
        <w:rPr>
          <w:rFonts w:ascii="Times New Roman" w:eastAsia="Times New Roman" w:hAnsi="Times New Roman" w:cs="Times New Roman"/>
          <w:color w:val="22272F"/>
          <w:sz w:val="28"/>
          <w:szCs w:val="28"/>
        </w:rPr>
        <w:t>количество контрольных (надзорных) мероприятий, по результатам которых выявлены нарушения обязательных требований, за отчетный период;</w:t>
      </w:r>
    </w:p>
    <w:p w:rsidR="00F76A69" w:rsidRPr="00F76A69" w:rsidRDefault="00F76A69" w:rsidP="00F76A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F76A69">
        <w:rPr>
          <w:rFonts w:ascii="Times New Roman" w:eastAsia="Times New Roman" w:hAnsi="Times New Roman" w:cs="Times New Roman"/>
          <w:color w:val="22272F"/>
          <w:sz w:val="28"/>
          <w:szCs w:val="28"/>
        </w:rPr>
        <w:t>количество контрольных (надзорных) мероприятий, по итогам которых возбуждены дела об административных правонарушениях, за отчетный период;</w:t>
      </w:r>
    </w:p>
    <w:p w:rsidR="00F76A69" w:rsidRPr="00F76A69" w:rsidRDefault="00F76A69" w:rsidP="00F76A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F76A69">
        <w:rPr>
          <w:rFonts w:ascii="Times New Roman" w:eastAsia="Times New Roman" w:hAnsi="Times New Roman" w:cs="Times New Roman"/>
          <w:color w:val="22272F"/>
          <w:sz w:val="28"/>
          <w:szCs w:val="28"/>
        </w:rPr>
        <w:t>сумма административных штрафов, наложенных в результате рассмотрения дел об административных правонарушениях, возбужденных в результате проведения контрольных (надзорных) мероприятий, за отчетный период;</w:t>
      </w:r>
    </w:p>
    <w:p w:rsidR="00F76A69" w:rsidRPr="00F76A69" w:rsidRDefault="00F76A69" w:rsidP="00F76A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F76A69">
        <w:rPr>
          <w:rFonts w:ascii="Times New Roman" w:eastAsia="Times New Roman" w:hAnsi="Times New Roman" w:cs="Times New Roman"/>
          <w:color w:val="22272F"/>
          <w:sz w:val="28"/>
          <w:szCs w:val="28"/>
        </w:rPr>
        <w:t>количество направленных в органы прокуратуры заявлений о согласовании проведения контрольных (надзорных) мероприятий, за отчетный период;</w:t>
      </w:r>
    </w:p>
    <w:p w:rsidR="00F76A69" w:rsidRPr="00F76A69" w:rsidRDefault="00F76A69" w:rsidP="00F76A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F76A69">
        <w:rPr>
          <w:rFonts w:ascii="Times New Roman" w:eastAsia="Times New Roman" w:hAnsi="Times New Roman" w:cs="Times New Roman"/>
          <w:color w:val="22272F"/>
          <w:sz w:val="28"/>
          <w:szCs w:val="28"/>
        </w:rPr>
        <w:t>количество направленных в органы прокуратуры заявлений о согласовании проведения контрольных (надзорных) мероприятий, по которым органами прокуратуры отказано в согласовании их проведения, за отчетный период;</w:t>
      </w:r>
    </w:p>
    <w:p w:rsidR="00F76A69" w:rsidRPr="00F76A69" w:rsidRDefault="00F76A69" w:rsidP="00F76A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F76A69">
        <w:rPr>
          <w:rFonts w:ascii="Times New Roman" w:eastAsia="Times New Roman" w:hAnsi="Times New Roman" w:cs="Times New Roman"/>
          <w:color w:val="22272F"/>
          <w:sz w:val="28"/>
          <w:szCs w:val="28"/>
        </w:rPr>
        <w:t>общее количество учтенных объектов контроля на конец отчетного периода;</w:t>
      </w:r>
    </w:p>
    <w:p w:rsidR="00F76A69" w:rsidRPr="00F76A69" w:rsidRDefault="00F76A69" w:rsidP="00F76A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F76A69">
        <w:rPr>
          <w:rFonts w:ascii="Times New Roman" w:eastAsia="Times New Roman" w:hAnsi="Times New Roman" w:cs="Times New Roman"/>
          <w:color w:val="22272F"/>
          <w:sz w:val="28"/>
          <w:szCs w:val="28"/>
        </w:rPr>
        <w:lastRenderedPageBreak/>
        <w:t>количество учтенных объектов контроля, отнесенных к категории умеренного риска, на конец отчетного периода;</w:t>
      </w:r>
    </w:p>
    <w:p w:rsidR="00F76A69" w:rsidRPr="00F76A69" w:rsidRDefault="00F76A69" w:rsidP="00F76A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F76A69">
        <w:rPr>
          <w:rFonts w:ascii="Times New Roman" w:eastAsia="Times New Roman" w:hAnsi="Times New Roman" w:cs="Times New Roman"/>
          <w:color w:val="22272F"/>
          <w:sz w:val="28"/>
          <w:szCs w:val="28"/>
        </w:rPr>
        <w:t>количество учтенных объектов контроля, отнесенных к категории среднего риска, на конец отчетного периода;</w:t>
      </w:r>
    </w:p>
    <w:p w:rsidR="00F76A69" w:rsidRPr="00F76A69" w:rsidRDefault="00F76A69" w:rsidP="00F76A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F76A69">
        <w:rPr>
          <w:rFonts w:ascii="Times New Roman" w:eastAsia="Times New Roman" w:hAnsi="Times New Roman" w:cs="Times New Roman"/>
          <w:color w:val="22272F"/>
          <w:sz w:val="28"/>
          <w:szCs w:val="28"/>
        </w:rPr>
        <w:t>количество учтенных объектов контроля, отнесенных к низкой категории риска, на конец отчетного периода;</w:t>
      </w:r>
    </w:p>
    <w:p w:rsidR="00F76A69" w:rsidRPr="00F76A69" w:rsidRDefault="00F76A69" w:rsidP="00F76A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F76A69">
        <w:rPr>
          <w:rFonts w:ascii="Times New Roman" w:eastAsia="Times New Roman" w:hAnsi="Times New Roman" w:cs="Times New Roman"/>
          <w:color w:val="22272F"/>
          <w:sz w:val="28"/>
          <w:szCs w:val="28"/>
        </w:rPr>
        <w:t>количество объектов контроля, в отношении которых проведены контрольные (надзорные) мероприятия, за отчетный период;</w:t>
      </w:r>
    </w:p>
    <w:p w:rsidR="00F76A69" w:rsidRPr="00F76A69" w:rsidRDefault="00F76A69" w:rsidP="00F76A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F76A69">
        <w:rPr>
          <w:rFonts w:ascii="Times New Roman" w:eastAsia="Times New Roman" w:hAnsi="Times New Roman" w:cs="Times New Roman"/>
          <w:color w:val="22272F"/>
          <w:sz w:val="28"/>
          <w:szCs w:val="28"/>
        </w:rPr>
        <w:t>общее количество жалоб, поданных контролируемыми лицами в досудебном порядке, за отчетный период;</w:t>
      </w:r>
    </w:p>
    <w:p w:rsidR="00F76A69" w:rsidRPr="00F76A69" w:rsidRDefault="00F76A69" w:rsidP="00F76A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F76A69">
        <w:rPr>
          <w:rFonts w:ascii="Times New Roman" w:eastAsia="Times New Roman" w:hAnsi="Times New Roman" w:cs="Times New Roman"/>
          <w:color w:val="22272F"/>
          <w:sz w:val="28"/>
          <w:szCs w:val="28"/>
        </w:rPr>
        <w:t>количество жалоб, поданных контролируемыми лицами в досудебном порядке, в отношении которых контрольным (надзорным) органом был нарушен срок рассмотрения, за отчетный период;</w:t>
      </w:r>
    </w:p>
    <w:p w:rsidR="00F76A69" w:rsidRPr="00F76A69" w:rsidRDefault="00F76A69" w:rsidP="00F76A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F76A69">
        <w:rPr>
          <w:rFonts w:ascii="Times New Roman" w:eastAsia="Times New Roman" w:hAnsi="Times New Roman" w:cs="Times New Roman"/>
          <w:color w:val="22272F"/>
          <w:sz w:val="28"/>
          <w:szCs w:val="28"/>
        </w:rPr>
        <w:t>количество жалоб, поданных контролируемыми лицами в досудебном порядке, по итогам рассмотрения которых принято решение о полной либо частичной отмене решения Уполномоченного органа либо о признании действий (бездействия) должностных лиц Уполномоченного органа, незаконными, за отчетный период;</w:t>
      </w:r>
    </w:p>
    <w:p w:rsidR="00F76A69" w:rsidRPr="00F76A69" w:rsidRDefault="00F76A69" w:rsidP="00F76A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F76A69">
        <w:rPr>
          <w:rFonts w:ascii="Times New Roman" w:eastAsia="Times New Roman" w:hAnsi="Times New Roman" w:cs="Times New Roman"/>
          <w:color w:val="22272F"/>
          <w:sz w:val="28"/>
          <w:szCs w:val="28"/>
        </w:rPr>
        <w:t>количество исковых заявлений об оспаривании решений, действий (бездействия) должностных лиц Уполномоченного органа, осуществляющих муниципальный земельный контроль, направленных контролируемыми лицами в суд, за отчетный период.</w:t>
      </w:r>
    </w:p>
    <w:p w:rsidR="00F76A69" w:rsidRPr="00F76A69" w:rsidRDefault="00F76A69" w:rsidP="00F76A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F76A69">
        <w:rPr>
          <w:rFonts w:ascii="Times New Roman" w:eastAsia="Times New Roman" w:hAnsi="Times New Roman" w:cs="Times New Roman"/>
          <w:color w:val="22272F"/>
          <w:sz w:val="28"/>
          <w:szCs w:val="28"/>
        </w:rPr>
        <w:t>количество исковых заявлений об оспаривании решений, действий (бездействия) должностных лиц Уполномоченного органа, осуществляющих муниципальный земельный контроль, направленных контролируемыми лицами в суд, по которым принято решение об удовлетворении заявленных требований, за отчетный период.</w:t>
      </w:r>
    </w:p>
    <w:p w:rsidR="00F76A69" w:rsidRPr="00F76A69" w:rsidRDefault="00F76A69" w:rsidP="00F76A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F76A69">
        <w:rPr>
          <w:rFonts w:ascii="Times New Roman" w:eastAsia="Times New Roman" w:hAnsi="Times New Roman" w:cs="Times New Roman"/>
          <w:color w:val="22272F"/>
          <w:sz w:val="28"/>
          <w:szCs w:val="28"/>
        </w:rPr>
        <w:t>количество контрольных (надзорных) мероприятий, проведенных с грубым нарушением требований к организации и осуществлению муниципального земельного контроля, результаты которых были признаны недействительными и (или) отменены, за отчетный период.</w:t>
      </w:r>
    </w:p>
    <w:p w:rsidR="00F76A69" w:rsidRPr="00F76A69" w:rsidRDefault="00F76A69" w:rsidP="00F76A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A69">
        <w:rPr>
          <w:rFonts w:ascii="Times New Roman" w:eastAsia="Times New Roman" w:hAnsi="Times New Roman" w:cs="Times New Roman"/>
          <w:sz w:val="28"/>
          <w:szCs w:val="28"/>
        </w:rPr>
        <w:t xml:space="preserve"> 5.5. Подготовка проекта доклада осуществляется Уполномоченным органом в соответствии с требованиями утвержденными постановлением Правительства Российской Федерации.</w:t>
      </w:r>
    </w:p>
    <w:p w:rsidR="00F76A69" w:rsidRPr="00F76A69" w:rsidRDefault="00F76A69" w:rsidP="00F76A6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F76A69" w:rsidRPr="00F76A69" w:rsidRDefault="00F76A69" w:rsidP="00F76A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76A69" w:rsidRPr="00F76A69" w:rsidRDefault="00F76A69" w:rsidP="00F76A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6A69">
        <w:rPr>
          <w:rFonts w:ascii="Times New Roman" w:eastAsia="Times New Roman" w:hAnsi="Times New Roman" w:cs="Times New Roman"/>
          <w:color w:val="000000"/>
          <w:sz w:val="28"/>
          <w:szCs w:val="28"/>
        </w:rPr>
        <w:t>Заместитель главы</w:t>
      </w:r>
    </w:p>
    <w:p w:rsidR="00F76A69" w:rsidRPr="00F76A69" w:rsidRDefault="00F76A69" w:rsidP="00F76A6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6A69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образования</w:t>
      </w:r>
    </w:p>
    <w:p w:rsidR="00F76A69" w:rsidRPr="00F76A69" w:rsidRDefault="00F76A69" w:rsidP="00F76A6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6A69">
        <w:rPr>
          <w:rFonts w:ascii="Times New Roman" w:eastAsia="Times New Roman" w:hAnsi="Times New Roman" w:cs="Times New Roman"/>
          <w:color w:val="000000"/>
          <w:sz w:val="28"/>
          <w:szCs w:val="28"/>
        </w:rPr>
        <w:t>Кавказский район</w:t>
      </w:r>
      <w:r w:rsidRPr="00F76A6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F76A6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F76A6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F76A6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F76A6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F76A6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F76A6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           М.Н. Козлова</w:t>
      </w:r>
    </w:p>
    <w:p w:rsidR="004F48CB" w:rsidRDefault="004F48CB"/>
    <w:sectPr w:rsidR="004F48CB" w:rsidSect="0009632D">
      <w:headerReference w:type="even" r:id="rId7"/>
      <w:headerReference w:type="default" r:id="rId8"/>
      <w:footerReference w:type="even" r:id="rId9"/>
      <w:pgSz w:w="11906" w:h="16838"/>
      <w:pgMar w:top="1134" w:right="567" w:bottom="90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2223" w:rsidRDefault="005F2223" w:rsidP="009344FA">
      <w:pPr>
        <w:spacing w:after="0" w:line="240" w:lineRule="auto"/>
      </w:pPr>
      <w:r>
        <w:separator/>
      </w:r>
    </w:p>
  </w:endnote>
  <w:endnote w:type="continuationSeparator" w:id="1">
    <w:p w:rsidR="005F2223" w:rsidRDefault="005F2223" w:rsidP="00934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478" w:rsidRDefault="007469AD" w:rsidP="00763F3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F48C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5478" w:rsidRDefault="005F222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2223" w:rsidRDefault="005F2223" w:rsidP="009344FA">
      <w:pPr>
        <w:spacing w:after="0" w:line="240" w:lineRule="auto"/>
      </w:pPr>
      <w:r>
        <w:separator/>
      </w:r>
    </w:p>
  </w:footnote>
  <w:footnote w:type="continuationSeparator" w:id="1">
    <w:p w:rsidR="005F2223" w:rsidRDefault="005F2223" w:rsidP="009344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478" w:rsidRDefault="007469AD" w:rsidP="00763F33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F48C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5478" w:rsidRDefault="005F2223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478" w:rsidRPr="00D64E51" w:rsidRDefault="007469AD" w:rsidP="00763F33">
    <w:pPr>
      <w:pStyle w:val="a6"/>
      <w:framePr w:wrap="around" w:vAnchor="text" w:hAnchor="margin" w:xAlign="center" w:y="1"/>
      <w:rPr>
        <w:rStyle w:val="a5"/>
        <w:sz w:val="20"/>
        <w:szCs w:val="20"/>
      </w:rPr>
    </w:pPr>
    <w:r w:rsidRPr="00D64E51">
      <w:rPr>
        <w:rStyle w:val="a5"/>
        <w:sz w:val="20"/>
        <w:szCs w:val="20"/>
      </w:rPr>
      <w:fldChar w:fldCharType="begin"/>
    </w:r>
    <w:r w:rsidR="004F48CB" w:rsidRPr="00D64E51">
      <w:rPr>
        <w:rStyle w:val="a5"/>
        <w:sz w:val="20"/>
        <w:szCs w:val="20"/>
      </w:rPr>
      <w:instrText xml:space="preserve">PAGE  </w:instrText>
    </w:r>
    <w:r w:rsidRPr="00D64E51">
      <w:rPr>
        <w:rStyle w:val="a5"/>
        <w:sz w:val="20"/>
        <w:szCs w:val="20"/>
      </w:rPr>
      <w:fldChar w:fldCharType="separate"/>
    </w:r>
    <w:r w:rsidR="00C47AA1">
      <w:rPr>
        <w:rStyle w:val="a5"/>
        <w:noProof/>
        <w:sz w:val="20"/>
        <w:szCs w:val="20"/>
      </w:rPr>
      <w:t>3</w:t>
    </w:r>
    <w:r w:rsidRPr="00D64E51">
      <w:rPr>
        <w:rStyle w:val="a5"/>
        <w:sz w:val="20"/>
        <w:szCs w:val="20"/>
      </w:rPr>
      <w:fldChar w:fldCharType="end"/>
    </w:r>
  </w:p>
  <w:p w:rsidR="00C65478" w:rsidRDefault="005F2223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76A69"/>
    <w:rsid w:val="00375AA7"/>
    <w:rsid w:val="004F48CB"/>
    <w:rsid w:val="005F2223"/>
    <w:rsid w:val="007469AD"/>
    <w:rsid w:val="009344FA"/>
    <w:rsid w:val="00BB25C9"/>
    <w:rsid w:val="00C47AA1"/>
    <w:rsid w:val="00F76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4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76A6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F76A69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F76A69"/>
  </w:style>
  <w:style w:type="paragraph" w:styleId="a6">
    <w:name w:val="header"/>
    <w:basedOn w:val="a"/>
    <w:link w:val="a7"/>
    <w:rsid w:val="00F76A6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F76A69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76A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A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1041</Words>
  <Characters>5939</Characters>
  <Application>Microsoft Office Word</Application>
  <DocSecurity>0</DocSecurity>
  <Lines>49</Lines>
  <Paragraphs>13</Paragraphs>
  <ScaleCrop>false</ScaleCrop>
  <Company/>
  <LinksUpToDate>false</LinksUpToDate>
  <CharactersWithSpaces>6967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SovetPK</dc:creator>
  <cp:keywords/>
  <dc:description/>
  <cp:lastModifiedBy>SovetPK</cp:lastModifiedBy>
  <cp:revision>6</cp:revision>
  <cp:lastPrinted>2022-04-18T12:53:00Z</cp:lastPrinted>
  <dcterms:created xsi:type="dcterms:W3CDTF">2022-04-15T07:18:00Z</dcterms:created>
  <dcterms:modified xsi:type="dcterms:W3CDTF">2022-04-28T09:15:00Z</dcterms:modified>
</cp:coreProperties>
</file>